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2006/wordml" xmlns:wps="http://schemas.microsoft.com/office/word/2010/wordprocessingShape" mc:Ignorable="w14 wp14">
  <w:body>
    <w:p>
      <w:r>
        <w:t xml:space="preserve">Supplement Decision Table — structured for decisions, review, and changes</w:t>
      </w:r>
    </w:p>
    <w:p/>
    <w:p>
      <w:r>
        <w:t xml:space="preserve">This version restructures the supplement table into three decision sections:</w:t>
      </w:r>
    </w:p>
    <w:p>
      <w:r>
        <w:t xml:space="preserve">- **Definite**</w:t>
      </w:r>
    </w:p>
    <w:p>
      <w:r>
        <w:t xml:space="preserve">- **May change**</w:t>
      </w:r>
    </w:p>
    <w:p>
      <w:r>
        <w:t xml:space="preserve">- **Will change**</w:t>
      </w:r>
    </w:p>
    <w:p/>
    <w:p>
      <w:r>
        <w:t xml:space="preserve">It also adds decision-oriented columns so the table is useful for review, not just stock tracking.</w:t>
      </w:r>
    </w:p>
    <w:p/>
    <w:p>
      <w:r>
        <w:t xml:space="preserve">Recommended columns used below</w:t>
      </w:r>
    </w:p>
    <w:p>
      <w:r>
        <w:t xml:space="preserve">- Supplement</w:t>
      </w:r>
    </w:p>
    <w:p>
      <w:r>
        <w:t xml:space="preserve">- Brand</w:t>
      </w:r>
    </w:p>
    <w:p>
      <w:r>
        <w:t xml:space="preserve">- Main purpose</w:t>
      </w:r>
    </w:p>
    <w:p>
      <w:r>
        <w:t xml:space="preserve">- Current dose</w:t>
      </w:r>
    </w:p>
    <w:p>
      <w:r>
        <w:t xml:space="preserve">- Date supplement started</w:t>
      </w:r>
    </w:p>
    <w:p>
      <w:r>
        <w:t xml:space="preserve">- Taken when</w:t>
      </w:r>
    </w:p>
    <w:p>
      <w:r>
        <w:t xml:space="preserve">- Why taking it</w:t>
      </w:r>
    </w:p>
    <w:p>
      <w:r>
        <w:t xml:space="preserve">- Linked biomarker / symptom</w:t>
      </w:r>
    </w:p>
    <w:p>
      <w:r>
        <w:t xml:space="preserve">- What might change</w:t>
      </w:r>
    </w:p>
    <w:p>
      <w:r>
        <w:t xml:space="preserve">- Next review date</w:t>
      </w:r>
    </w:p>
    <w:p>
      <w:r>
        <w:t xml:space="preserve">- Days left / stock</w:t>
      </w:r>
    </w:p>
    <w:p>
      <w:r>
        <w:t xml:space="preserve">- Notes</w:t>
      </w:r>
    </w:p>
    <w:p/>
    <w:p>
      <w:r>
        <w:t xml:space="preserve">&gt; Dates started are left as `unknown` unless they were explicitly visible in the materials already available.</w:t>
      </w:r>
    </w:p>
    <w:p>
      <w:r>
        <w:t xml:space="preserve">&gt; Review timing is best-effort and meant as an operational prompt, not medical advice.</w:t>
      </w:r>
    </w:p>
    <w:p/>
    <w:p/>
    <w:p/>
    <w:p>
      <w:r>
        <w:t xml:space="preserve">Definite</w:t>
      </w:r>
    </w:p>
    <w:p/>
    <w:p>
      <w:r>
        <w:t xml:space="preserve">| Supplement | Brand | Main purpose | Current dose | Date supplement started | Taken when | Why taking it | Linked biomarker / symptom | What might change | Next review date | Days left / stock | Notes |</w:t>
      </w:r>
    </w:p>
    <w:p>
      <w:r>
        <w:t xml:space="preserve">|---|---|---|---|---|---|---|---|---|---|---|---|</w:t>
      </w:r>
    </w:p>
    <w:p>
      <w:r>
        <w:t xml:space="preserve">| Ashwagandha Rhodiola | Blueprint | Stress resilience / calm / adaptogen support | 1 capsule daily | unknown | Morning with food | Stress resilience and calm support | Calm, stress reactivity, sleep quality | Likely keep unless no benefit | 3 months | ~30 days per container | Website-derived serving details captured. |</w:t>
      </w:r>
    </w:p>
    <w:p>
      <w:r>
        <w:t xml:space="preserve">| Essential Capsules | Blueprint | Foundational micronutrient support | 2 capsules daily | unknown | Morning with food | Broad vitamin/mineral support | Energy, general wellbeing, blood markers as relevant | Adjust only if overlap/duplication emerges | 3 months | ~30 days per container | Website exposed partial micronutrient list. |</w:t>
      </w:r>
    </w:p>
    <w:p>
      <w:r>
        <w:t xml:space="preserve">| Omega-3 | Blueprint | Cardiovascular / anti-inflammatory / brain support | 2 capsules daily (800 mg EPA+DHA total) | unknown | Morning or evening with food | Lipids, inflammation, brain support | Lipids, hs-CRP, recovery, cognition | Dose/brand could change later, but likely keep omega-3 category | 3 months | ~30 days per container | Website-derived details captured. |</w:t>
      </w:r>
    </w:p>
    <w:p>
      <w:r>
        <w:t xml:space="preserve">| NAC Ginger Curcumin | Blueprint | Antioxidant / inflammation support | 3 capsules daily | unknown | With food | Oxidative stress / inflammation support | Recovery, inflammation symptoms, hs-CRP | May tune dose later | 3 months | ~30 days per container | Website-derived serving details captured. |</w:t>
      </w:r>
    </w:p>
    <w:p>
      <w:r>
        <w:t xml:space="preserve">| Longevity Mix | Blueprint | Longevity stack / creatine + amino acid support | 1 scoop (14.8 g) daily | unknown | Morning | General longevity / recovery / nutrient support | Energy, recovery, strength, wellbeing | Formula choice could evolve, but active use seems established | 3 months | ~30 days per container | 30 servings visible. |</w:t>
      </w:r>
    </w:p>
    <w:p>
      <w:r>
        <w:t xml:space="preserve">| Creatine | Blueprint | Strength / cognition / recovery support | 1 scoop (5.7 g) daily | unknown | Morning | Strength, recovery, cognition support | Performance, energy, muscle recovery | Brand may change but creatine itself likely remains | 3 months | ~100 days if 1 scoop daily | 100 servings visible. |</w:t>
      </w:r>
    </w:p>
    <w:p>
      <w:r>
        <w:t xml:space="preserve">| APX-Rosuvastatin | APX / pharmacy label | Cholesterol lowering | 5 mg daily | unknown | Daily | Lipid control | Cholesterol / ApoB context | Dose could change only after blood review | Next lipid review | ~30 days | Pharmacy label says 1 tablet daily. |</w:t>
      </w:r>
    </w:p>
    <w:p>
      <w:r>
        <w:t xml:space="preserve">| Progout / Allopurinol | Viatris | Uric acid / gout management | 300 mg | unknown | Daily | Uric acid control | Uric acid / gout symptoms | Only change based on clinician/lab review | Next uric acid review | unknown | Pack count not readable. |</w:t>
      </w:r>
    </w:p>
    <w:p>
      <w:r>
        <w:t xml:space="preserve">| Metamucil Orange Smooth | Metamucil | Fibre / bowel / cholesterol support | unknown | unknown | Likely daytime | Fibre support | Bowel pattern, cholesterol, appetite | Dose may be refined, but fibre support likely remains | 1–3 months | unknown | Serving details not readable. |</w:t>
      </w:r>
    </w:p>
    <w:p/>
    <w:p/>
    <w:p/>
    <w:p>
      <w:r>
        <w:t xml:space="preserve">May change</w:t>
      </w:r>
    </w:p>
    <w:p/>
    <w:p>
      <w:r>
        <w:t xml:space="preserve">| Supplement | Brand | Main purpose | Current dose | Date supplement started | Taken when | Why taking it | Linked biomarker / symptom | What might change | Next review date | Days left / stock | Notes |</w:t>
      </w:r>
    </w:p>
    <w:p>
      <w:r>
        <w:t xml:space="preserve">|---|---|---|---|---|---|---|---|---|---|---|---|</w:t>
      </w:r>
    </w:p>
    <w:p>
      <w:r>
        <w:t xml:space="preserve">| Advanced Antioxidants | Blueprint | Antioxidant support | unknown | unknown | unknown | Likely antioxidant / longevity support | Inflammation / recovery context | Keep vs replace depends on exact formula and overlap | Next stack review | unknown | Exact compound list not reliably retrieved yet. |</w:t>
      </w:r>
    </w:p>
    <w:p>
      <w:r>
        <w:t xml:space="preserve">| Red Yeast Rice + Odor Free Garlic | Blueprint | Cholesterol support | unknown | unknown | unknown | Lipid support | Cholesterol / ApoB context | Could be redundant with rosuvastatin or part of lipid stack review | Next lipid review | unknown | Need exact dosing details. |</w:t>
      </w:r>
    </w:p>
    <w:p>
      <w:r>
        <w:t xml:space="preserve">| Ginkgo Biloba | Nature’s Sunshine | Circulation / cognition support | 420 mg visible | unknown | unknown | Cognitive / circulation support | Cognition, focus | Keep only if noticeable benefit | 2–3 months | unknown | Daily dose not visible. |</w:t>
      </w:r>
    </w:p>
    <w:p>
      <w:r>
        <w:t xml:space="preserve">| Mega EGCG | Panaxea | Antioxidant / metabolic support | unknown | unknown | unknown | Likely longevity / polyphenol support | General recovery / weight / metabolic goals | Could change depending on simplification goals | Next stack review | ~60 capsules visible | Photo only. |</w:t>
      </w:r>
    </w:p>
    <w:p>
      <w:r>
        <w:t xml:space="preserve">| Bergamot Cholestenol | Herbs of Gold | Cholesterol support | 500 mg bergamot extract visible | unknown | unknown | Lipid support | Cholesterol / ApoB context | Could keep, reduce, or replace depending on statin + lipid plan | Next lipid review | ~60 tablets visible | Daily dosing not visible. |</w:t>
      </w:r>
    </w:p>
    <w:p>
      <w:r>
        <w:t xml:space="preserve">| Cognition Support | BioCeuticals | Cognitive support | unknown | unknown | unknown | Brain / focus support | Cognition, focus, mood | Continue only if clearly useful | 2–3 months | ~60 tablets visible | Front detail not readable. |</w:t>
      </w:r>
    </w:p>
    <w:p>
      <w:r>
        <w:t xml:space="preserve">| Bio.me / Biome Cholesterol | Activated Probiotics? | Gut / cholesterol support | unknown | unknown | unknown | Cholesterol or microbiome support | Cholesterol, digestion | May stay or be removed depending on clarity of benefit | Next lipid/gut review | unknown | Pack details obscured. |</w:t>
      </w:r>
    </w:p>
    <w:p>
      <w:r>
        <w:t xml:space="preserve">| NMN Repair | Repair | Longevity / NAD support | unknown | unknown | unknown | Longevity / energy support | Energy, recovery, broad longevity goals | Could stay, change dose, or swap brand | Next longevity stack review | unknown | 100 g visible, daily use unknown. |</w:t>
      </w:r>
    </w:p>
    <w:p>
      <w:r>
        <w:t xml:space="preserve">| SeaFibre-Fucoidan | Phyco Health | Gut / immune / marine fibre support | unknown | unknown | unknown | Gut / immune support | Digestion, inflammation, wellbeing | Keep only if helping | 2–3 months | unknown | Serving details not readable. |</w:t>
      </w:r>
    </w:p>
    <w:p>
      <w:r>
        <w:t xml:space="preserve">| Betaglucare (beta-glucan) | Betaglucare | Immune / fibre / metabolic support | 3 g beta-glucan shown | unknown | unknown | Immune / metabolic support | Immunity, cholesterol, gut | Might change depending on duplication with fibre plan | Next stack review | unknown | Pack structure unclear. |</w:t>
      </w:r>
    </w:p>
    <w:p>
      <w:r>
        <w:t xml:space="preserve">| Night 85 Slow-Release Protein | True | Overnight protein / recovery support | unknown | unknown | Before bed likely | Recovery / muscle maintenance | Recovery, hunger, muscle support | Keep depending on adherence and benefit | 1–2 months | 33 serves visible | Daily serve count not confirmed. |</w:t>
      </w:r>
    </w:p>
    <w:p>
      <w:r>
        <w:t xml:space="preserve">| Snake Oil Premium Extra Virgin Olive Oil | Blueprint | Healthy fats / polyphenol support | unknown | unknown | With meals likely | Cardiometabolic / longevity support | Lipids, inflammation, diet adherence | Product amount could change based on diet pattern | 1–3 months | unknown | 750 mL visible, daily use unknown. |</w:t>
      </w:r>
    </w:p>
    <w:p/>
    <w:p/>
    <w:p/>
    <w:p>
      <w:r>
        <w:t xml:space="preserve">Will change</w:t>
      </w:r>
    </w:p>
    <w:p/>
    <w:p>
      <w:r>
        <w:t xml:space="preserve">| Supplement | Brand | Main purpose | Current dose | Date supplement started | Taken when | Why taking it | Linked biomarker / symptom | What might change | Next review date | Days left / stock | Notes |</w:t>
      </w:r>
    </w:p>
    <w:p>
      <w:r>
        <w:t xml:space="preserve">|---|---|---|---|---|---|---|---|---|---|---|---|</w:t>
      </w:r>
    </w:p>
    <w:p>
      <w:r>
        <w:t xml:space="preserve">| TMG Trimethylglycine | Piping Rock | Methylation / homocysteine support | 1400 mg per serving | unknown | unknown | Likely methylation support | Homocysteine, methylation context, MTHFR support | Likely needs explicit review once homocysteine result lands | When homocysteine result arrives | unknown | Good candidate for “will change” because blood result should drive decision. |</w:t>
      </w:r>
    </w:p>
    <w:p/>
    <w:p/>
    <w:p/>
    <w:p>
      <w:r>
        <w:t xml:space="preserve">Suggested next refinements</w:t>
      </w:r>
    </w:p>
    <w:p>
      <w:r>
        <w:t xml:space="preserve">- Fill in **date supplement started** from your own history or purchase records.</w:t>
      </w:r>
    </w:p>
    <w:p>
      <w:r>
        <w:t xml:space="preserve">- Add a **reason for change** column if you want stronger decision support.</w:t>
      </w:r>
    </w:p>
    <w:p>
      <w:r>
        <w:t xml:space="preserve">- Add a **review against** column (e.g. homocysteine, cholesterol, sleep, uric acid, cognition).</w:t>
      </w:r>
    </w:p>
    <w:p>
      <w:r>
        <w:t xml:space="preserve">- Convert this same structure into the Word table file for easier editing.</w:t>
      </w:r>
    </w:p>
    <w:sectPr>
      <w:pgSz w:w="12240" w:h="15840"/>
      <w:pgMar w:top="1440" w:right="1440" w:bottom="1440" w:left="1440" w:header="708" w:footer="708" w:gutter="0"/>
    </w:sectPr>
  </w:body>
</w:document>
</file>